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C4" w:rsidRDefault="008025C4" w:rsidP="008025C4">
      <w:pPr>
        <w:pStyle w:val="Default"/>
        <w:rPr>
          <w:rFonts w:cstheme="minorBidi"/>
          <w:color w:val="auto"/>
          <w:sz w:val="40"/>
          <w:szCs w:val="40"/>
          <w:u w:val="single"/>
        </w:rPr>
      </w:pPr>
      <w:r>
        <w:rPr>
          <w:rFonts w:cstheme="minorBidi"/>
          <w:color w:val="auto"/>
          <w:sz w:val="40"/>
          <w:szCs w:val="40"/>
          <w:u w:val="single"/>
        </w:rPr>
        <w:t>Education and Training Academy</w:t>
      </w:r>
    </w:p>
    <w:p w:rsidR="008025C4" w:rsidRDefault="008025C4" w:rsidP="008025C4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8025C4" w:rsidRPr="008025C4" w:rsidRDefault="008025C4" w:rsidP="008025C4">
      <w:pPr>
        <w:pStyle w:val="Default"/>
        <w:rPr>
          <w:rFonts w:cstheme="minorBidi"/>
          <w:color w:val="auto"/>
          <w:sz w:val="28"/>
          <w:szCs w:val="28"/>
        </w:rPr>
      </w:pPr>
      <w:r w:rsidRPr="008025C4">
        <w:rPr>
          <w:rFonts w:cstheme="minorBidi"/>
          <w:b/>
          <w:bCs/>
          <w:color w:val="auto"/>
          <w:sz w:val="28"/>
          <w:szCs w:val="28"/>
        </w:rPr>
        <w:t xml:space="preserve">Training Center </w:t>
      </w:r>
    </w:p>
    <w:p w:rsidR="00897D3B" w:rsidRPr="00A35A9A" w:rsidRDefault="008025C4" w:rsidP="00A35A9A">
      <w:pPr>
        <w:pStyle w:val="Default"/>
        <w:rPr>
          <w:rFonts w:asciiTheme="minorHAnsi" w:hAnsiTheme="minorHAnsi" w:cstheme="majorBidi"/>
          <w:b/>
          <w:bCs/>
          <w:color w:val="auto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Course Name: </w:t>
      </w:r>
      <w:r w:rsidR="00A35A9A" w:rsidRPr="00A35A9A">
        <w:rPr>
          <w:rFonts w:asciiTheme="minorHAnsi" w:hAnsiTheme="minorHAnsi" w:cstheme="majorBidi"/>
          <w:b/>
          <w:bCs/>
          <w:color w:val="auto"/>
        </w:rPr>
        <w:t>Symptoms Management Course</w:t>
      </w:r>
    </w:p>
    <w:p w:rsidR="008025C4" w:rsidRPr="008025C4" w:rsidRDefault="008025C4" w:rsidP="00897D3B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Accreditation: Accredited by ANCC </w:t>
      </w:r>
    </w:p>
    <w:p w:rsidR="008025C4" w:rsidRDefault="008025C4"/>
    <w:p w:rsidR="008025C4" w:rsidRPr="00A35A9A" w:rsidRDefault="008025C4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COURSE OVERVIEW</w:t>
      </w:r>
    </w:p>
    <w:p w:rsidR="00BF68E9" w:rsidRPr="00A35A9A" w:rsidRDefault="00BF68E9" w:rsidP="00611542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</w:p>
    <w:p w:rsidR="00F11CC9" w:rsidRDefault="00A35A9A" w:rsidP="00A35A9A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A35A9A">
        <w:rPr>
          <w:rFonts w:cs="SegoeUI-Semilight"/>
          <w:sz w:val="24"/>
          <w:szCs w:val="24"/>
        </w:rPr>
        <w:t>Although it is important to diagnose and manage cancer itself, it is also vital to r</w:t>
      </w:r>
      <w:r>
        <w:rPr>
          <w:rFonts w:cs="SegoeUI-Semilight"/>
          <w:sz w:val="24"/>
          <w:szCs w:val="24"/>
        </w:rPr>
        <w:t xml:space="preserve">ecognize and effectively handle </w:t>
      </w:r>
      <w:r w:rsidRPr="00A35A9A">
        <w:rPr>
          <w:rFonts w:cs="SegoeUI-Semilight"/>
          <w:sz w:val="24"/>
          <w:szCs w:val="24"/>
        </w:rPr>
        <w:t>associated symptoms cancer’s patient might experience. In this course participants will explore the pathophysiolog</w:t>
      </w:r>
      <w:r>
        <w:rPr>
          <w:rFonts w:cs="SegoeUI-Semilight"/>
          <w:sz w:val="24"/>
          <w:szCs w:val="24"/>
        </w:rPr>
        <w:t xml:space="preserve">y of </w:t>
      </w:r>
      <w:r w:rsidRPr="00A35A9A">
        <w:rPr>
          <w:rFonts w:cs="SegoeUI-Semilight"/>
          <w:sz w:val="24"/>
          <w:szCs w:val="24"/>
        </w:rPr>
        <w:t>symptoms associated with cancer treatments, apply an understanding of nursing asse</w:t>
      </w:r>
      <w:r>
        <w:rPr>
          <w:rFonts w:cs="SegoeUI-Semilight"/>
          <w:sz w:val="24"/>
          <w:szCs w:val="24"/>
        </w:rPr>
        <w:t xml:space="preserve">ssment, identify people at high </w:t>
      </w:r>
      <w:r w:rsidRPr="00A35A9A">
        <w:rPr>
          <w:rFonts w:cs="SegoeUI-Semilight"/>
          <w:sz w:val="24"/>
          <w:szCs w:val="24"/>
        </w:rPr>
        <w:t>risk for a symptom suffering, and apply strategies that are evidence-based for relieving patient symptoms.</w:t>
      </w:r>
    </w:p>
    <w:p w:rsidR="00A35A9A" w:rsidRPr="00A35A9A" w:rsidRDefault="00A35A9A" w:rsidP="00A35A9A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</w:p>
    <w:p w:rsidR="008025C4" w:rsidRPr="00A35A9A" w:rsidRDefault="008025C4" w:rsidP="008025C4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TARGET AUDIENCE</w:t>
      </w:r>
    </w:p>
    <w:p w:rsidR="00F11CC9" w:rsidRDefault="00A35A9A" w:rsidP="00F11CC9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A35A9A">
        <w:rPr>
          <w:rFonts w:cs="SegoeUI-Semilight"/>
          <w:sz w:val="24"/>
          <w:szCs w:val="24"/>
        </w:rPr>
        <w:t>Registered Nurses, with minimal experience (1 year experience).</w:t>
      </w:r>
    </w:p>
    <w:p w:rsidR="00A35A9A" w:rsidRPr="00A35A9A" w:rsidRDefault="00A35A9A" w:rsidP="00F11CC9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</w:p>
    <w:p w:rsidR="00611542" w:rsidRPr="00A35A9A" w:rsidRDefault="008025C4" w:rsidP="00F11CC9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A57FCD">
        <w:rPr>
          <w:rFonts w:cs="SegoeUI-Semibold"/>
          <w:b/>
          <w:bCs/>
          <w:sz w:val="28"/>
          <w:szCs w:val="28"/>
          <w:u w:val="single"/>
        </w:rPr>
        <w:t>OBJECTIVES</w:t>
      </w:r>
    </w:p>
    <w:p w:rsidR="00A35A9A" w:rsidRPr="00A35A9A" w:rsidRDefault="00A35A9A" w:rsidP="00A35A9A">
      <w:pPr>
        <w:autoSpaceDE w:val="0"/>
        <w:autoSpaceDN w:val="0"/>
        <w:adjustRightInd w:val="0"/>
        <w:spacing w:after="0" w:line="240" w:lineRule="auto"/>
        <w:rPr>
          <w:rFonts w:cs="SegoeUI-SemilightItalic"/>
          <w:i/>
          <w:iCs/>
          <w:sz w:val="24"/>
          <w:szCs w:val="24"/>
        </w:rPr>
      </w:pPr>
      <w:r w:rsidRPr="00A35A9A">
        <w:rPr>
          <w:rFonts w:cs="SegoeUI-SemilightItalic"/>
          <w:i/>
          <w:iCs/>
          <w:sz w:val="24"/>
          <w:szCs w:val="24"/>
        </w:rPr>
        <w:t>At the end of this 2 days course, participants will be able to:</w:t>
      </w:r>
    </w:p>
    <w:p w:rsidR="00A35A9A" w:rsidRPr="00A35A9A" w:rsidRDefault="00A35A9A" w:rsidP="00A35A9A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A35A9A">
        <w:rPr>
          <w:rFonts w:cs="SegoeUI-Semilight"/>
          <w:sz w:val="24"/>
          <w:szCs w:val="24"/>
        </w:rPr>
        <w:t>• Identify the difference between dementia and delirium.</w:t>
      </w:r>
    </w:p>
    <w:p w:rsidR="00A35A9A" w:rsidRPr="00A35A9A" w:rsidRDefault="00A35A9A" w:rsidP="00A35A9A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A35A9A">
        <w:rPr>
          <w:rFonts w:cs="SegoeUI-Semilight"/>
          <w:sz w:val="24"/>
          <w:szCs w:val="24"/>
        </w:rPr>
        <w:t>• Identify signs and symptoms, risk factors, and tools used in the assessment of delirium.</w:t>
      </w:r>
    </w:p>
    <w:p w:rsidR="00A35A9A" w:rsidRPr="00A35A9A" w:rsidRDefault="00A35A9A" w:rsidP="00A35A9A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A35A9A">
        <w:rPr>
          <w:rFonts w:cs="SegoeUI-Semilight"/>
          <w:sz w:val="24"/>
          <w:szCs w:val="24"/>
        </w:rPr>
        <w:t>• Compare &amp; contrast the pathophysiology of anorexia and cachexia.</w:t>
      </w:r>
    </w:p>
    <w:p w:rsidR="00A35A9A" w:rsidRPr="00A35A9A" w:rsidRDefault="00A35A9A" w:rsidP="00A35A9A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A35A9A">
        <w:rPr>
          <w:rFonts w:cs="SegoeUI-Semilight"/>
          <w:sz w:val="24"/>
          <w:szCs w:val="24"/>
        </w:rPr>
        <w:t>• Describe the etiology of cancer-related malnutrition.</w:t>
      </w:r>
    </w:p>
    <w:p w:rsidR="00A35A9A" w:rsidRPr="00A35A9A" w:rsidRDefault="00A35A9A" w:rsidP="00A35A9A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A35A9A">
        <w:rPr>
          <w:rFonts w:cs="SegoeUI-Semilight"/>
          <w:sz w:val="24"/>
          <w:szCs w:val="24"/>
        </w:rPr>
        <w:t>• Identify and list the importa</w:t>
      </w:r>
      <w:bookmarkStart w:id="0" w:name="_GoBack"/>
      <w:bookmarkEnd w:id="0"/>
      <w:r w:rsidRPr="00A35A9A">
        <w:rPr>
          <w:rFonts w:cs="SegoeUI-Semilight"/>
          <w:sz w:val="24"/>
          <w:szCs w:val="24"/>
        </w:rPr>
        <w:t>nt assessment criteria and appro</w:t>
      </w:r>
      <w:r>
        <w:rPr>
          <w:rFonts w:cs="SegoeUI-Semilight"/>
          <w:sz w:val="24"/>
          <w:szCs w:val="24"/>
        </w:rPr>
        <w:t xml:space="preserve">priate interventions that could improve the outcomes of </w:t>
      </w:r>
      <w:r w:rsidRPr="00A35A9A">
        <w:rPr>
          <w:rFonts w:cs="SegoeUI-Semilight"/>
          <w:sz w:val="24"/>
          <w:szCs w:val="24"/>
        </w:rPr>
        <w:t>the malnourished cancer patient.</w:t>
      </w:r>
    </w:p>
    <w:p w:rsidR="00A35A9A" w:rsidRPr="00A35A9A" w:rsidRDefault="00A35A9A" w:rsidP="00A35A9A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A35A9A">
        <w:rPr>
          <w:rFonts w:cs="SegoeUI-Semilight"/>
          <w:sz w:val="24"/>
          <w:szCs w:val="24"/>
        </w:rPr>
        <w:t>• Discuss chemotherapy- or radiation-induced mucositis, in</w:t>
      </w:r>
      <w:r>
        <w:rPr>
          <w:rFonts w:cs="SegoeUI-Semilight"/>
          <w:sz w:val="24"/>
          <w:szCs w:val="24"/>
        </w:rPr>
        <w:t xml:space="preserve">cluding etiological factors and </w:t>
      </w:r>
      <w:r w:rsidR="00EA0503" w:rsidRPr="00A35A9A">
        <w:rPr>
          <w:rFonts w:cs="SegoeUI-Semilight"/>
          <w:sz w:val="24"/>
          <w:szCs w:val="24"/>
        </w:rPr>
        <w:t>pathophysiology</w:t>
      </w:r>
      <w:r w:rsidRPr="00A35A9A">
        <w:rPr>
          <w:rFonts w:cs="SegoeUI-Semilight"/>
          <w:sz w:val="24"/>
          <w:szCs w:val="24"/>
        </w:rPr>
        <w:t>.</w:t>
      </w:r>
    </w:p>
    <w:p w:rsidR="00A35A9A" w:rsidRPr="00A35A9A" w:rsidRDefault="00A35A9A" w:rsidP="00A35A9A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A35A9A">
        <w:rPr>
          <w:rFonts w:cs="SegoeUI-Semilight"/>
          <w:sz w:val="24"/>
          <w:szCs w:val="24"/>
        </w:rPr>
        <w:t>• Analyze risk assessment tools to identify patients at risk for chemotherapy- or radiation-induced mucositis.</w:t>
      </w:r>
    </w:p>
    <w:p w:rsidR="00A35A9A" w:rsidRPr="00A35A9A" w:rsidRDefault="00A35A9A" w:rsidP="00A35A9A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A35A9A">
        <w:rPr>
          <w:rFonts w:cs="SegoeUI-Semilight"/>
          <w:sz w:val="24"/>
          <w:szCs w:val="24"/>
        </w:rPr>
        <w:t>• Develop strategies for implementing evidence-based clinical practice guidelines and best practices to manage</w:t>
      </w:r>
    </w:p>
    <w:p w:rsidR="00A35A9A" w:rsidRPr="00A35A9A" w:rsidRDefault="00A35A9A" w:rsidP="00A35A9A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A35A9A">
        <w:rPr>
          <w:rFonts w:cs="SegoeUI-Semilight"/>
          <w:sz w:val="24"/>
          <w:szCs w:val="24"/>
        </w:rPr>
        <w:t>Chemotherapy</w:t>
      </w:r>
      <w:r w:rsidRPr="00A35A9A">
        <w:rPr>
          <w:rFonts w:cs="SegoeUI-Semilight"/>
          <w:sz w:val="24"/>
          <w:szCs w:val="24"/>
        </w:rPr>
        <w:t>- or radiation-induced mucositis.</w:t>
      </w:r>
    </w:p>
    <w:p w:rsidR="00A35A9A" w:rsidRPr="00A35A9A" w:rsidRDefault="00A35A9A" w:rsidP="00A35A9A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A35A9A">
        <w:rPr>
          <w:rFonts w:cs="SegoeUI-Semilight"/>
          <w:sz w:val="24"/>
          <w:szCs w:val="24"/>
        </w:rPr>
        <w:t>• Identify the differences between acute and chronic pain and the factors that should</w:t>
      </w:r>
      <w:r>
        <w:rPr>
          <w:rFonts w:cs="SegoeUI-Semilight"/>
          <w:sz w:val="24"/>
          <w:szCs w:val="24"/>
        </w:rPr>
        <w:t xml:space="preserve"> be included in a comprehensive </w:t>
      </w:r>
      <w:r w:rsidRPr="00A35A9A">
        <w:rPr>
          <w:rFonts w:cs="SegoeUI-Semilight"/>
          <w:sz w:val="24"/>
          <w:szCs w:val="24"/>
        </w:rPr>
        <w:t>pain assessment.</w:t>
      </w:r>
    </w:p>
    <w:p w:rsidR="00A35A9A" w:rsidRPr="00A35A9A" w:rsidRDefault="00A35A9A" w:rsidP="00A35A9A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A35A9A">
        <w:rPr>
          <w:rFonts w:cs="SegoeUI-Semilight"/>
          <w:sz w:val="24"/>
          <w:szCs w:val="24"/>
        </w:rPr>
        <w:t>• Identify treatment and nursing interventions for patients experiencing treatment-induced peripheral neuropathy.</w:t>
      </w:r>
    </w:p>
    <w:p w:rsidR="00A35A9A" w:rsidRPr="00A35A9A" w:rsidRDefault="00A35A9A" w:rsidP="00A35A9A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A35A9A">
        <w:rPr>
          <w:rFonts w:cs="SegoeUI-Semilight"/>
          <w:sz w:val="24"/>
          <w:szCs w:val="24"/>
        </w:rPr>
        <w:t>• Recognize and evaluate patients with signs and symptoms of insomnia and other common sleep/wake disturbances.</w:t>
      </w:r>
    </w:p>
    <w:p w:rsidR="00F11CC9" w:rsidRPr="00A35A9A" w:rsidRDefault="00A35A9A" w:rsidP="00A35A9A">
      <w:pPr>
        <w:rPr>
          <w:rFonts w:cs="SegoeUI-SemilightItalic"/>
          <w:i/>
          <w:iCs/>
          <w:sz w:val="24"/>
          <w:szCs w:val="24"/>
        </w:rPr>
      </w:pPr>
      <w:r w:rsidRPr="00A35A9A">
        <w:rPr>
          <w:rFonts w:cs="SegoeUI-Semilight"/>
          <w:sz w:val="24"/>
          <w:szCs w:val="24"/>
        </w:rPr>
        <w:t>• Identify the function of thrombocytes and how platelets are destroyed in the patient with cancer.</w:t>
      </w:r>
    </w:p>
    <w:p w:rsidR="00F11CC9" w:rsidRPr="00A35A9A" w:rsidRDefault="00F11CC9" w:rsidP="00A57FCD">
      <w:pPr>
        <w:rPr>
          <w:rFonts w:cs="SegoeUI-SemilightItalic"/>
          <w:i/>
          <w:iCs/>
          <w:sz w:val="24"/>
          <w:szCs w:val="24"/>
        </w:rPr>
      </w:pPr>
    </w:p>
    <w:p w:rsidR="00F11CC9" w:rsidRPr="00A35A9A" w:rsidRDefault="00F11CC9" w:rsidP="00A57FCD">
      <w:pPr>
        <w:rPr>
          <w:rFonts w:cs="SegoeUI-SemilightItalic"/>
          <w:i/>
          <w:iCs/>
          <w:sz w:val="24"/>
          <w:szCs w:val="24"/>
        </w:rPr>
      </w:pPr>
    </w:p>
    <w:p w:rsidR="00A57FCD" w:rsidRPr="00A35A9A" w:rsidRDefault="008025C4" w:rsidP="00A57FCD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TEACHING STRATEGIES</w:t>
      </w:r>
    </w:p>
    <w:p w:rsidR="00611542" w:rsidRPr="00A35A9A" w:rsidRDefault="00611542" w:rsidP="00A57FCD">
      <w:pPr>
        <w:rPr>
          <w:rFonts w:cs="SegoeUI-SemilightItalic"/>
          <w:sz w:val="24"/>
          <w:szCs w:val="24"/>
        </w:rPr>
      </w:pPr>
    </w:p>
    <w:p w:rsidR="00A35A9A" w:rsidRPr="00A35A9A" w:rsidRDefault="00A35A9A" w:rsidP="00A35A9A">
      <w:pPr>
        <w:autoSpaceDE w:val="0"/>
        <w:autoSpaceDN w:val="0"/>
        <w:adjustRightInd w:val="0"/>
        <w:spacing w:after="0" w:line="240" w:lineRule="auto"/>
        <w:rPr>
          <w:rFonts w:cs="SegoeUI-SemilightItalic"/>
          <w:i/>
          <w:iCs/>
          <w:sz w:val="24"/>
          <w:szCs w:val="24"/>
        </w:rPr>
      </w:pPr>
      <w:r w:rsidRPr="00A35A9A">
        <w:rPr>
          <w:rFonts w:cs="SegoeUI-SemilightItalic"/>
          <w:i/>
          <w:iCs/>
          <w:sz w:val="24"/>
          <w:szCs w:val="24"/>
        </w:rPr>
        <w:t>Power point presentations.</w:t>
      </w:r>
    </w:p>
    <w:p w:rsidR="00A35A9A" w:rsidRPr="00A35A9A" w:rsidRDefault="00A35A9A" w:rsidP="00A35A9A">
      <w:pPr>
        <w:autoSpaceDE w:val="0"/>
        <w:autoSpaceDN w:val="0"/>
        <w:adjustRightInd w:val="0"/>
        <w:spacing w:after="0" w:line="240" w:lineRule="auto"/>
        <w:rPr>
          <w:rFonts w:cs="SegoeUI-SemilightItalic"/>
          <w:i/>
          <w:iCs/>
          <w:sz w:val="24"/>
          <w:szCs w:val="24"/>
        </w:rPr>
      </w:pPr>
      <w:r w:rsidRPr="00A35A9A">
        <w:rPr>
          <w:rFonts w:cs="SegoeUI-SemilightItalic"/>
          <w:i/>
          <w:iCs/>
          <w:sz w:val="24"/>
          <w:szCs w:val="24"/>
        </w:rPr>
        <w:t>• Role Play.</w:t>
      </w:r>
    </w:p>
    <w:p w:rsidR="00A35A9A" w:rsidRPr="00A35A9A" w:rsidRDefault="00A35A9A" w:rsidP="00A35A9A">
      <w:pPr>
        <w:autoSpaceDE w:val="0"/>
        <w:autoSpaceDN w:val="0"/>
        <w:adjustRightInd w:val="0"/>
        <w:spacing w:after="0" w:line="240" w:lineRule="auto"/>
        <w:rPr>
          <w:rFonts w:cs="SegoeUI-SemilightItalic"/>
          <w:i/>
          <w:iCs/>
          <w:sz w:val="24"/>
          <w:szCs w:val="24"/>
        </w:rPr>
      </w:pPr>
      <w:r w:rsidRPr="00A35A9A">
        <w:rPr>
          <w:rFonts w:cs="SegoeUI-SemilightItalic"/>
          <w:i/>
          <w:iCs/>
          <w:sz w:val="24"/>
          <w:szCs w:val="24"/>
        </w:rPr>
        <w:t>• Case Studies.</w:t>
      </w:r>
    </w:p>
    <w:p w:rsidR="00A35A9A" w:rsidRPr="00A35A9A" w:rsidRDefault="00A35A9A" w:rsidP="00A35A9A">
      <w:pPr>
        <w:autoSpaceDE w:val="0"/>
        <w:autoSpaceDN w:val="0"/>
        <w:adjustRightInd w:val="0"/>
        <w:spacing w:after="0" w:line="240" w:lineRule="auto"/>
        <w:rPr>
          <w:rFonts w:cs="SegoeUI-SemilightItalic"/>
          <w:i/>
          <w:iCs/>
          <w:sz w:val="24"/>
          <w:szCs w:val="24"/>
        </w:rPr>
      </w:pPr>
      <w:r w:rsidRPr="00A35A9A">
        <w:rPr>
          <w:rFonts w:cs="SegoeUI-SemilightItalic"/>
          <w:i/>
          <w:iCs/>
          <w:sz w:val="24"/>
          <w:szCs w:val="24"/>
        </w:rPr>
        <w:t>• Group Work.</w:t>
      </w:r>
    </w:p>
    <w:p w:rsidR="00A35A9A" w:rsidRPr="00A35A9A" w:rsidRDefault="00A35A9A" w:rsidP="00A35A9A">
      <w:pPr>
        <w:autoSpaceDE w:val="0"/>
        <w:autoSpaceDN w:val="0"/>
        <w:adjustRightInd w:val="0"/>
        <w:spacing w:after="0" w:line="240" w:lineRule="auto"/>
        <w:rPr>
          <w:rFonts w:cs="SegoeUI-SemilightItalic"/>
          <w:i/>
          <w:iCs/>
          <w:sz w:val="24"/>
          <w:szCs w:val="24"/>
        </w:rPr>
      </w:pPr>
      <w:r w:rsidRPr="00A35A9A">
        <w:rPr>
          <w:rFonts w:cs="SegoeUI-SemilightItalic"/>
          <w:i/>
          <w:iCs/>
          <w:sz w:val="24"/>
          <w:szCs w:val="24"/>
        </w:rPr>
        <w:t>• Discussion (seminar approach).</w:t>
      </w:r>
    </w:p>
    <w:p w:rsidR="00A35A9A" w:rsidRPr="00A35A9A" w:rsidRDefault="00A35A9A" w:rsidP="00A35A9A">
      <w:pPr>
        <w:autoSpaceDE w:val="0"/>
        <w:autoSpaceDN w:val="0"/>
        <w:adjustRightInd w:val="0"/>
        <w:spacing w:after="0" w:line="240" w:lineRule="auto"/>
        <w:rPr>
          <w:rFonts w:cs="SegoeUI-SemilightItalic"/>
          <w:i/>
          <w:iCs/>
          <w:sz w:val="24"/>
          <w:szCs w:val="24"/>
        </w:rPr>
      </w:pPr>
      <w:r w:rsidRPr="00A35A9A">
        <w:rPr>
          <w:rFonts w:cs="SegoeUI-SemilightItalic"/>
          <w:i/>
          <w:iCs/>
          <w:sz w:val="24"/>
          <w:szCs w:val="24"/>
        </w:rPr>
        <w:t>• Journal club.</w:t>
      </w:r>
    </w:p>
    <w:p w:rsidR="00A35A9A" w:rsidRPr="00A35A9A" w:rsidRDefault="00A35A9A" w:rsidP="00A35A9A">
      <w:pPr>
        <w:autoSpaceDE w:val="0"/>
        <w:autoSpaceDN w:val="0"/>
        <w:adjustRightInd w:val="0"/>
        <w:spacing w:after="0" w:line="240" w:lineRule="auto"/>
        <w:rPr>
          <w:rFonts w:cs="SegoeUI-SemilightItalic"/>
          <w:i/>
          <w:iCs/>
          <w:sz w:val="24"/>
          <w:szCs w:val="24"/>
        </w:rPr>
      </w:pPr>
      <w:r w:rsidRPr="00A35A9A">
        <w:rPr>
          <w:rFonts w:cs="SegoeUI-SemilightItalic"/>
          <w:i/>
          <w:iCs/>
          <w:sz w:val="24"/>
          <w:szCs w:val="24"/>
        </w:rPr>
        <w:t>• Literature review.</w:t>
      </w:r>
    </w:p>
    <w:p w:rsidR="008025C4" w:rsidRPr="00A35A9A" w:rsidRDefault="00A35A9A" w:rsidP="00A35A9A">
      <w:pPr>
        <w:rPr>
          <w:sz w:val="24"/>
          <w:szCs w:val="24"/>
        </w:rPr>
      </w:pPr>
      <w:r w:rsidRPr="00A35A9A">
        <w:rPr>
          <w:rFonts w:cs="SegoeUI-SemilightItalic"/>
          <w:i/>
          <w:iCs/>
          <w:sz w:val="24"/>
          <w:szCs w:val="24"/>
        </w:rPr>
        <w:t>• Case presentation</w:t>
      </w:r>
    </w:p>
    <w:sectPr w:rsidR="008025C4" w:rsidRPr="00A35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UI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-Semi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Semi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C4"/>
    <w:rsid w:val="00012EBB"/>
    <w:rsid w:val="0003166E"/>
    <w:rsid w:val="000C5B1F"/>
    <w:rsid w:val="001C38DB"/>
    <w:rsid w:val="00210F84"/>
    <w:rsid w:val="00436C45"/>
    <w:rsid w:val="004D7D3D"/>
    <w:rsid w:val="00611542"/>
    <w:rsid w:val="0064524F"/>
    <w:rsid w:val="00761639"/>
    <w:rsid w:val="007A1D09"/>
    <w:rsid w:val="008025C4"/>
    <w:rsid w:val="00821D4B"/>
    <w:rsid w:val="00882270"/>
    <w:rsid w:val="0089224E"/>
    <w:rsid w:val="00897D3B"/>
    <w:rsid w:val="008B7E23"/>
    <w:rsid w:val="008D7895"/>
    <w:rsid w:val="009F7A8B"/>
    <w:rsid w:val="00A163E5"/>
    <w:rsid w:val="00A35A9A"/>
    <w:rsid w:val="00A57FCD"/>
    <w:rsid w:val="00B15878"/>
    <w:rsid w:val="00BF68E9"/>
    <w:rsid w:val="00C22D93"/>
    <w:rsid w:val="00CF28AF"/>
    <w:rsid w:val="00EA0503"/>
    <w:rsid w:val="00F11CC9"/>
    <w:rsid w:val="00F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D07EB-025C-4D48-BCB3-B93F4390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25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Abdelhamid</dc:creator>
  <cp:keywords/>
  <dc:description/>
  <cp:lastModifiedBy>Omar Abdelhamid</cp:lastModifiedBy>
  <cp:revision>29</cp:revision>
  <dcterms:created xsi:type="dcterms:W3CDTF">2018-12-27T08:01:00Z</dcterms:created>
  <dcterms:modified xsi:type="dcterms:W3CDTF">2018-12-27T11:55:00Z</dcterms:modified>
</cp:coreProperties>
</file>