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436C45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436C45">
        <w:rPr>
          <w:rFonts w:asciiTheme="minorHAnsi" w:hAnsiTheme="minorHAnsi" w:cs="SegoeUI-Bold"/>
          <w:b/>
          <w:bCs/>
          <w:color w:val="auto"/>
        </w:rPr>
        <w:t>Pediatric oncology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436C45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D7895" w:rsidRPr="00436C45" w:rsidRDefault="008D7895" w:rsidP="008D789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436C45">
        <w:rPr>
          <w:rFonts w:cs="SegoeUI-Semilight"/>
          <w:sz w:val="24"/>
          <w:szCs w:val="24"/>
        </w:rPr>
        <w:t xml:space="preserve">The pediatric oncology nursing - a highly specialized and sensitive role - delivers care </w:t>
      </w:r>
      <w:r>
        <w:rPr>
          <w:rFonts w:cs="SegoeUI-Semilight"/>
          <w:sz w:val="24"/>
          <w:szCs w:val="24"/>
        </w:rPr>
        <w:t xml:space="preserve">to those pediatric patients who </w:t>
      </w:r>
      <w:r w:rsidRPr="00436C45">
        <w:rPr>
          <w:rFonts w:cs="SegoeUI-Semilight"/>
          <w:sz w:val="24"/>
          <w:szCs w:val="24"/>
        </w:rPr>
        <w:t xml:space="preserve">are receiving cancer treatment. Specific responsibilities include preparing patients </w:t>
      </w:r>
      <w:r>
        <w:rPr>
          <w:rFonts w:cs="SegoeUI-Semilight"/>
          <w:sz w:val="24"/>
          <w:szCs w:val="24"/>
        </w:rPr>
        <w:t xml:space="preserve">for chemotherapy, administering </w:t>
      </w:r>
      <w:r w:rsidRPr="00436C45">
        <w:rPr>
          <w:rFonts w:cs="SegoeUI-Semilight"/>
          <w:sz w:val="24"/>
          <w:szCs w:val="24"/>
        </w:rPr>
        <w:t>palliative treatment, and collaborating with other members of the health care tea</w:t>
      </w:r>
      <w:r>
        <w:rPr>
          <w:rFonts w:cs="SegoeUI-Semilight"/>
          <w:sz w:val="24"/>
          <w:szCs w:val="24"/>
        </w:rPr>
        <w:t xml:space="preserve">m. This course will ensure that </w:t>
      </w:r>
      <w:r w:rsidRPr="00436C45">
        <w:rPr>
          <w:rFonts w:cs="SegoeUI-Semilight"/>
          <w:sz w:val="24"/>
          <w:szCs w:val="24"/>
        </w:rPr>
        <w:t xml:space="preserve">pediatric oncology nurses can integrate their technical skills, scientific knowledge, and </w:t>
      </w:r>
      <w:r>
        <w:rPr>
          <w:rFonts w:cs="SegoeUI-Semilight"/>
          <w:sz w:val="24"/>
          <w:szCs w:val="24"/>
        </w:rPr>
        <w:t xml:space="preserve">caring attitude to provide high </w:t>
      </w:r>
      <w:r w:rsidRPr="00436C45">
        <w:rPr>
          <w:rFonts w:cs="SegoeUI-Semilight"/>
          <w:sz w:val="24"/>
          <w:szCs w:val="24"/>
        </w:rPr>
        <w:t>quality care of pediatric oncology patients and their families.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436C45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436C45" w:rsidRPr="00436C45" w:rsidRDefault="00436C45" w:rsidP="007A1D09">
      <w:pPr>
        <w:rPr>
          <w:rFonts w:cs="SegoeUI-Semilight"/>
          <w:sz w:val="24"/>
          <w:szCs w:val="24"/>
        </w:rPr>
      </w:pPr>
      <w:r w:rsidRPr="00436C45">
        <w:rPr>
          <w:rFonts w:cs="SegoeUI-Semilight"/>
          <w:sz w:val="24"/>
          <w:szCs w:val="24"/>
        </w:rPr>
        <w:t xml:space="preserve">Registered </w:t>
      </w:r>
      <w:r w:rsidRPr="00436C45">
        <w:rPr>
          <w:rFonts w:cs="SegoeUI-Semilight"/>
          <w:sz w:val="24"/>
          <w:szCs w:val="24"/>
        </w:rPr>
        <w:t>pediatric</w:t>
      </w:r>
      <w:r w:rsidRPr="00436C45">
        <w:rPr>
          <w:rFonts w:cs="SegoeUI-Semilight"/>
          <w:sz w:val="24"/>
          <w:szCs w:val="24"/>
        </w:rPr>
        <w:t xml:space="preserve"> nurses with more than one year of experience.</w:t>
      </w:r>
      <w:bookmarkStart w:id="0" w:name="_GoBack"/>
      <w:bookmarkEnd w:id="0"/>
    </w:p>
    <w:p w:rsidR="008025C4" w:rsidRPr="00436C45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436C45">
        <w:rPr>
          <w:rFonts w:cs="SegoeUI-SemilightItalic"/>
          <w:i/>
          <w:iCs/>
          <w:sz w:val="24"/>
          <w:szCs w:val="24"/>
        </w:rPr>
        <w:t>At the end of this course, participants will be able to: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436C45">
        <w:rPr>
          <w:rFonts w:cs="SegoeUI-Semilight"/>
          <w:sz w:val="24"/>
          <w:szCs w:val="24"/>
        </w:rPr>
        <w:t>• Define all childhood cancers and all activities associated with children cancer treatment.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436C45">
        <w:rPr>
          <w:rFonts w:cs="SegoeUI-Semilight"/>
          <w:sz w:val="24"/>
          <w:szCs w:val="24"/>
        </w:rPr>
        <w:t>• Discuss the most common types of pediatric oncology and hematology diseases.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436C45">
        <w:rPr>
          <w:rFonts w:cs="SegoeUI-Semilight"/>
          <w:sz w:val="24"/>
          <w:szCs w:val="24"/>
        </w:rPr>
        <w:t>• Identify the risk factors associated with childhood cancer.</w:t>
      </w:r>
    </w:p>
    <w:p w:rsidR="00B15878" w:rsidRPr="00436C45" w:rsidRDefault="00436C45" w:rsidP="00436C45">
      <w:pPr>
        <w:rPr>
          <w:rFonts w:cs="SegoeUI-Semibold"/>
          <w:b/>
          <w:bCs/>
          <w:sz w:val="24"/>
          <w:szCs w:val="24"/>
          <w:u w:val="single"/>
        </w:rPr>
      </w:pPr>
      <w:r w:rsidRPr="00436C45">
        <w:rPr>
          <w:rFonts w:cs="SegoeUI-Semilight"/>
          <w:sz w:val="24"/>
          <w:szCs w:val="24"/>
        </w:rPr>
        <w:t>• Explain the different treatment modalities for childhood cancer.</w:t>
      </w:r>
    </w:p>
    <w:p w:rsidR="00A57FCD" w:rsidRPr="00436C45" w:rsidRDefault="008025C4" w:rsidP="00A57FCD">
      <w:pPr>
        <w:rPr>
          <w:rFonts w:cs="SegoeUI-SemilightItalic"/>
          <w:sz w:val="24"/>
          <w:szCs w:val="24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Teaching methods will be used to assist participants in achieving course objectives include: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Presentations.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Independent study (reading, thinking).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Case Studies.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Group Work.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Discussion (seminar approach).</w:t>
      </w:r>
    </w:p>
    <w:p w:rsidR="008025C4" w:rsidRPr="00436C45" w:rsidRDefault="00436C45" w:rsidP="00436C45">
      <w:pPr>
        <w:rPr>
          <w:sz w:val="24"/>
          <w:szCs w:val="24"/>
        </w:rPr>
      </w:pPr>
      <w:r w:rsidRPr="00436C45">
        <w:rPr>
          <w:rFonts w:cs="SegoeUI-SemilightItalic"/>
          <w:sz w:val="24"/>
          <w:szCs w:val="24"/>
        </w:rPr>
        <w:t>• Role plays.</w:t>
      </w:r>
    </w:p>
    <w:sectPr w:rsidR="008025C4" w:rsidRPr="0043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210F84"/>
    <w:rsid w:val="00436C45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C22D9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21</cp:revision>
  <dcterms:created xsi:type="dcterms:W3CDTF">2018-12-27T08:01:00Z</dcterms:created>
  <dcterms:modified xsi:type="dcterms:W3CDTF">2018-12-27T09:59:00Z</dcterms:modified>
</cp:coreProperties>
</file>